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C4647D" w:rsidTr="008E37A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47D" w:rsidRDefault="00C4647D" w:rsidP="004B60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47D" w:rsidRDefault="00C4647D" w:rsidP="004B60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47D" w:rsidRDefault="00C4647D" w:rsidP="004B60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47D" w:rsidRDefault="00C4647D" w:rsidP="004B60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C4647D" w:rsidRPr="00AF5FE6" w:rsidTr="008E37A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47D" w:rsidRDefault="008E37AF" w:rsidP="004B6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C4647D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47D" w:rsidRDefault="008E37AF" w:rsidP="004B6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Ф.И.Тютчев.      </w:t>
            </w:r>
            <w:r w:rsidRPr="00E54CD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величия России, ее судьбоносной роли в мировой истории.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37AF" w:rsidRDefault="008E37AF" w:rsidP="008E37AF">
            <w:pPr>
              <w:pStyle w:val="a4"/>
              <w:spacing w:before="144" w:beforeAutospacing="0" w:after="0" w:afterAutospacing="0" w:line="336" w:lineRule="atLeast"/>
              <w:jc w:val="both"/>
              <w:rPr>
                <w:rFonts w:ascii="Lato" w:hAnsi="Lato"/>
                <w:color w:val="000000"/>
                <w:sz w:val="27"/>
                <w:szCs w:val="27"/>
              </w:rPr>
            </w:pPr>
            <w:r>
              <w:rPr>
                <w:rFonts w:ascii="Lato" w:hAnsi="Lato"/>
                <w:color w:val="000000"/>
                <w:sz w:val="27"/>
                <w:szCs w:val="27"/>
              </w:rPr>
              <w:t xml:space="preserve">1. План </w:t>
            </w:r>
            <w:proofErr w:type="gramStart"/>
            <w:r>
              <w:rPr>
                <w:rFonts w:ascii="Lato" w:hAnsi="Lato"/>
                <w:color w:val="000000"/>
                <w:sz w:val="27"/>
                <w:szCs w:val="27"/>
              </w:rPr>
              <w:t>–к</w:t>
            </w:r>
            <w:proofErr w:type="gramEnd"/>
            <w:r>
              <w:rPr>
                <w:rFonts w:ascii="Lato" w:hAnsi="Lato"/>
                <w:color w:val="000000"/>
                <w:sz w:val="27"/>
                <w:szCs w:val="27"/>
              </w:rPr>
              <w:t>онспект статьи по теме.</w:t>
            </w:r>
          </w:p>
          <w:p w:rsidR="008E37AF" w:rsidRDefault="008E37AF" w:rsidP="008E37AF">
            <w:pPr>
              <w:pStyle w:val="a4"/>
              <w:spacing w:before="144" w:beforeAutospacing="0" w:after="0" w:afterAutospacing="0" w:line="336" w:lineRule="atLeast"/>
              <w:jc w:val="both"/>
              <w:rPr>
                <w:rFonts w:ascii="Lato" w:hAnsi="Lato"/>
                <w:color w:val="000000"/>
                <w:sz w:val="27"/>
                <w:szCs w:val="27"/>
              </w:rPr>
            </w:pPr>
            <w:r>
              <w:rPr>
                <w:rFonts w:ascii="Lato" w:hAnsi="Lato"/>
                <w:color w:val="000000"/>
                <w:sz w:val="27"/>
                <w:szCs w:val="27"/>
              </w:rPr>
              <w:t>Последние годы жизни Тютчева отмечены многими трагическими событиями: 1864 г. – смерть Е.А. Денисьевой, 1865 – смерть дочери Елены и годовалого сына Николая, 1868 – смерть сына Дмитрия, 1870 – дочери Марии и старшего брата Николая. Эти трагические события не могли не отразиться на мироощущении поэта, не раз признававшегося в своих письмах, что он не числит себя среди живых. Однако была одна </w:t>
            </w:r>
            <w:r>
              <w:rPr>
                <w:rStyle w:val="a7"/>
                <w:rFonts w:ascii="Lato" w:hAnsi="Lato"/>
                <w:color w:val="396163"/>
                <w:sz w:val="27"/>
                <w:szCs w:val="27"/>
              </w:rPr>
              <w:t>тема</w:t>
            </w:r>
            <w:r>
              <w:rPr>
                <w:rFonts w:ascii="Lato" w:hAnsi="Lato"/>
                <w:color w:val="000000"/>
                <w:sz w:val="27"/>
                <w:szCs w:val="27"/>
              </w:rPr>
              <w:t>, неизменно заставлявшая Тютчева хотя бы на время забывать о горестных утратах, вырывавшая его из отчаяния, – </w:t>
            </w:r>
            <w:r>
              <w:rPr>
                <w:rStyle w:val="a7"/>
                <w:rFonts w:ascii="Lato" w:hAnsi="Lato"/>
                <w:color w:val="396163"/>
                <w:sz w:val="27"/>
                <w:szCs w:val="27"/>
              </w:rPr>
              <w:t>судьба России</w:t>
            </w:r>
            <w:r>
              <w:rPr>
                <w:rFonts w:ascii="Lato" w:hAnsi="Lato"/>
                <w:color w:val="000000"/>
                <w:sz w:val="27"/>
                <w:szCs w:val="27"/>
              </w:rPr>
              <w:t xml:space="preserve">. </w:t>
            </w:r>
            <w:proofErr w:type="gramStart"/>
            <w:r>
              <w:rPr>
                <w:rFonts w:ascii="Lato" w:hAnsi="Lato"/>
                <w:color w:val="000000"/>
                <w:sz w:val="27"/>
                <w:szCs w:val="27"/>
              </w:rPr>
              <w:t xml:space="preserve">Как показывает в своей биографии Тютчева В.В. </w:t>
            </w:r>
            <w:proofErr w:type="spellStart"/>
            <w:r>
              <w:rPr>
                <w:rFonts w:ascii="Lato" w:hAnsi="Lato"/>
                <w:color w:val="000000"/>
                <w:sz w:val="27"/>
                <w:szCs w:val="27"/>
              </w:rPr>
              <w:t>Кожинов</w:t>
            </w:r>
            <w:proofErr w:type="spellEnd"/>
            <w:r>
              <w:rPr>
                <w:rFonts w:ascii="Lato" w:hAnsi="Lato"/>
                <w:color w:val="000000"/>
                <w:sz w:val="27"/>
                <w:szCs w:val="27"/>
              </w:rPr>
              <w:t>, последние годы жизни поэта отмечены его «многообразной деятельностью в сфере русской политики»: после назначения министром иностранных дел А. Горчакова Тютчев активно  включается в решение внешнеполитических вопросов, пытаясь влиять на позицию не только Горчакова, но и императора Александра Второго, и нередко достигает успеха.</w:t>
            </w:r>
            <w:proofErr w:type="gramEnd"/>
            <w:r>
              <w:rPr>
                <w:rFonts w:ascii="Lato" w:hAnsi="Lato"/>
                <w:color w:val="000000"/>
                <w:sz w:val="27"/>
                <w:szCs w:val="27"/>
              </w:rPr>
              <w:t xml:space="preserve"> Поэт, – утверждает исследователь, – «так или </w:t>
            </w:r>
            <w:proofErr w:type="gramStart"/>
            <w:r>
              <w:rPr>
                <w:rFonts w:ascii="Lato" w:hAnsi="Lato"/>
                <w:color w:val="000000"/>
                <w:sz w:val="27"/>
                <w:szCs w:val="27"/>
              </w:rPr>
              <w:t>иначе</w:t>
            </w:r>
            <w:proofErr w:type="gramEnd"/>
            <w:r>
              <w:rPr>
                <w:rFonts w:ascii="Lato" w:hAnsi="Lato"/>
                <w:color w:val="000000"/>
                <w:sz w:val="27"/>
                <w:szCs w:val="27"/>
              </w:rPr>
              <w:t xml:space="preserve"> участвовал в выработке направления внешней политики».</w:t>
            </w:r>
          </w:p>
          <w:p w:rsidR="008E37AF" w:rsidRDefault="008E37AF" w:rsidP="008E37AF">
            <w:pPr>
              <w:pStyle w:val="a4"/>
              <w:spacing w:before="144" w:beforeAutospacing="0" w:after="0" w:afterAutospacing="0" w:line="336" w:lineRule="atLeast"/>
              <w:jc w:val="both"/>
              <w:rPr>
                <w:rFonts w:ascii="Lato" w:hAnsi="Lato"/>
                <w:color w:val="000000"/>
                <w:sz w:val="27"/>
                <w:szCs w:val="27"/>
              </w:rPr>
            </w:pPr>
            <w:r>
              <w:rPr>
                <w:rFonts w:ascii="Lato" w:hAnsi="Lato"/>
                <w:color w:val="000000"/>
                <w:sz w:val="27"/>
                <w:szCs w:val="27"/>
              </w:rPr>
              <w:t xml:space="preserve">Позицию Тютчева, его отношение к судьбе родины отчетливо передает стихотворение, написанное к юбилею Н.М. Карамзина в 1866 г., где поэт назвал своего старшего современника «верноподданным России» и именно это служение родине расценил как его величайшую заслугу. В полной мере и самого Тютчева следует назвать «верноподданным России». Его истинно патриотическая позиция: беспредельная любовь к Родине, гордость ее историей, надежды на возрождение ее роли в судьбах мира – все это становится темой </w:t>
            </w:r>
            <w:proofErr w:type="spellStart"/>
            <w:r>
              <w:rPr>
                <w:rFonts w:ascii="Lato" w:hAnsi="Lato"/>
                <w:color w:val="000000"/>
                <w:sz w:val="27"/>
                <w:szCs w:val="27"/>
              </w:rPr>
              <w:t>тютчевских</w:t>
            </w:r>
            <w:proofErr w:type="spellEnd"/>
            <w:r>
              <w:rPr>
                <w:rFonts w:ascii="Lato" w:hAnsi="Lato"/>
                <w:color w:val="000000"/>
                <w:sz w:val="27"/>
                <w:szCs w:val="27"/>
              </w:rPr>
              <w:t xml:space="preserve"> стихотворений политического характера, его </w:t>
            </w:r>
            <w:r>
              <w:rPr>
                <w:rFonts w:ascii="Lato" w:hAnsi="Lato"/>
                <w:color w:val="000000"/>
                <w:sz w:val="27"/>
                <w:szCs w:val="27"/>
              </w:rPr>
              <w:lastRenderedPageBreak/>
              <w:t>писем московским публицистам (прежде всего И.С. Аксакову), его разговоров с Горчаковым. Тютчев – инициатор и вдохновитель многих выступлений И. Аксакова в печати, судьбоносных решений, принятых А. Горчаковым. О глубоком и плодотворном воздействии Тютчева справедливо писал известный поэт А. Майков, утверждавший, что именно знакомство с поэтом дало ему «высокие точки зрения на жизнь и мир, Россию и ее судьбы в прошлом, настоящем и будущем».</w:t>
            </w:r>
          </w:p>
          <w:p w:rsidR="008E37AF" w:rsidRDefault="008E37AF" w:rsidP="008E37AF">
            <w:pPr>
              <w:pStyle w:val="a4"/>
              <w:spacing w:before="144" w:beforeAutospacing="0" w:after="0" w:afterAutospacing="0" w:line="336" w:lineRule="atLeast"/>
              <w:jc w:val="both"/>
              <w:rPr>
                <w:rFonts w:ascii="Lato" w:hAnsi="Lato"/>
                <w:color w:val="000000"/>
                <w:sz w:val="27"/>
                <w:szCs w:val="27"/>
              </w:rPr>
            </w:pPr>
            <w:r>
              <w:rPr>
                <w:rStyle w:val="a7"/>
                <w:rFonts w:ascii="Lato" w:hAnsi="Lato"/>
                <w:color w:val="396163"/>
                <w:sz w:val="27"/>
                <w:szCs w:val="27"/>
              </w:rPr>
              <w:t>Тема России</w:t>
            </w:r>
            <w:r>
              <w:rPr>
                <w:rFonts w:ascii="Lato" w:hAnsi="Lato"/>
                <w:color w:val="000000"/>
                <w:sz w:val="27"/>
                <w:szCs w:val="27"/>
              </w:rPr>
              <w:t xml:space="preserve"> – одна из самых значимых в поздней лирике Тютчева. </w:t>
            </w:r>
            <w:proofErr w:type="gramStart"/>
            <w:r>
              <w:rPr>
                <w:rFonts w:ascii="Lato" w:hAnsi="Lato"/>
                <w:color w:val="000000"/>
                <w:sz w:val="27"/>
                <w:szCs w:val="27"/>
              </w:rPr>
              <w:t xml:space="preserve">Как отметили исследователи, она возникает после духовного переворота, который переживает поэт в конце 1840-х годов, и обретает пророческую глубину и силу в лирике конца 1860 – начала 1870-х гг. Тема эта </w:t>
            </w:r>
            <w:proofErr w:type="spellStart"/>
            <w:r>
              <w:rPr>
                <w:rFonts w:ascii="Lato" w:hAnsi="Lato"/>
                <w:color w:val="000000"/>
                <w:sz w:val="27"/>
                <w:szCs w:val="27"/>
              </w:rPr>
              <w:t>многоаспектна</w:t>
            </w:r>
            <w:proofErr w:type="spellEnd"/>
            <w:r>
              <w:rPr>
                <w:rFonts w:ascii="Lato" w:hAnsi="Lato"/>
                <w:color w:val="000000"/>
                <w:sz w:val="27"/>
                <w:szCs w:val="27"/>
              </w:rPr>
              <w:t>: стремясь осознать «русскую идею», миссию России в мире, Тютчев обращается и к древней российской истории, глубоко переживает ее печальное и трагическое настоящее, ее таинственную и великую судьбу, которую предвещает</w:t>
            </w:r>
            <w:proofErr w:type="gramEnd"/>
            <w:r>
              <w:rPr>
                <w:rFonts w:ascii="Lato" w:hAnsi="Lato"/>
                <w:color w:val="000000"/>
                <w:sz w:val="27"/>
                <w:szCs w:val="27"/>
              </w:rPr>
              <w:t xml:space="preserve"> история России. Тютчеву принадлежат ставшие хрестоматийными строки, которые многократно цитировались:</w:t>
            </w:r>
          </w:p>
          <w:p w:rsidR="008E37AF" w:rsidRDefault="008E37AF" w:rsidP="008E37AF">
            <w:pPr>
              <w:pStyle w:val="a4"/>
              <w:spacing w:before="144" w:beforeAutospacing="0" w:after="0" w:afterAutospacing="0" w:line="336" w:lineRule="atLeast"/>
              <w:jc w:val="both"/>
              <w:rPr>
                <w:rFonts w:ascii="Lato" w:hAnsi="Lato"/>
                <w:color w:val="000000"/>
                <w:sz w:val="27"/>
                <w:szCs w:val="27"/>
              </w:rPr>
            </w:pPr>
            <w:r>
              <w:rPr>
                <w:rStyle w:val="a8"/>
                <w:rFonts w:ascii="Lato" w:hAnsi="Lato"/>
                <w:color w:val="000000"/>
                <w:sz w:val="27"/>
                <w:szCs w:val="27"/>
              </w:rPr>
              <w:t>Умом Россию не понять,</w:t>
            </w:r>
            <w:r>
              <w:rPr>
                <w:rFonts w:ascii="Lato" w:hAnsi="Lato"/>
                <w:color w:val="000000"/>
                <w:sz w:val="27"/>
                <w:szCs w:val="27"/>
              </w:rPr>
              <w:br/>
            </w:r>
            <w:r>
              <w:rPr>
                <w:rStyle w:val="a8"/>
                <w:rFonts w:ascii="Lato" w:hAnsi="Lato"/>
                <w:color w:val="000000"/>
                <w:sz w:val="27"/>
                <w:szCs w:val="27"/>
              </w:rPr>
              <w:t>Аршином общим не измерить:</w:t>
            </w:r>
            <w:r>
              <w:rPr>
                <w:rFonts w:ascii="Lato" w:hAnsi="Lato"/>
                <w:color w:val="000000"/>
                <w:sz w:val="27"/>
                <w:szCs w:val="27"/>
              </w:rPr>
              <w:br/>
            </w:r>
            <w:proofErr w:type="gramStart"/>
            <w:r>
              <w:rPr>
                <w:rStyle w:val="a8"/>
                <w:rFonts w:ascii="Lato" w:hAnsi="Lato"/>
                <w:color w:val="000000"/>
                <w:sz w:val="27"/>
                <w:szCs w:val="27"/>
              </w:rPr>
              <w:t>У</w:t>
            </w:r>
            <w:proofErr w:type="gramEnd"/>
            <w:r>
              <w:rPr>
                <w:rStyle w:val="a8"/>
                <w:rFonts w:ascii="Lato" w:hAnsi="Lato"/>
                <w:color w:val="000000"/>
                <w:sz w:val="27"/>
                <w:szCs w:val="27"/>
              </w:rPr>
              <w:t xml:space="preserve"> ней особенная стать –</w:t>
            </w:r>
            <w:r>
              <w:rPr>
                <w:rFonts w:ascii="Lato" w:hAnsi="Lato"/>
                <w:color w:val="000000"/>
                <w:sz w:val="27"/>
                <w:szCs w:val="27"/>
              </w:rPr>
              <w:br/>
            </w:r>
            <w:r>
              <w:rPr>
                <w:rStyle w:val="a8"/>
                <w:rFonts w:ascii="Lato" w:hAnsi="Lato"/>
                <w:color w:val="000000"/>
                <w:sz w:val="27"/>
                <w:szCs w:val="27"/>
              </w:rPr>
              <w:t>В Россию можно только верить.</w:t>
            </w:r>
          </w:p>
          <w:p w:rsidR="008E37AF" w:rsidRDefault="008E37AF" w:rsidP="008E37AF">
            <w:pPr>
              <w:pStyle w:val="a4"/>
              <w:spacing w:before="144" w:beforeAutospacing="0" w:after="0" w:afterAutospacing="0" w:line="336" w:lineRule="atLeast"/>
              <w:jc w:val="both"/>
              <w:rPr>
                <w:rFonts w:ascii="Lato" w:hAnsi="Lato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Lato" w:hAnsi="Lato"/>
                <w:color w:val="000000"/>
                <w:sz w:val="27"/>
                <w:szCs w:val="27"/>
              </w:rPr>
              <w:t>В поэзии Тютчева Россия уподобляется или утесу («Утес и волны») или стене («Славянам», 1867) – образам, которые несут идею прочности, незыблемости, непоколебимости, первозданности, вечности.</w:t>
            </w:r>
            <w:proofErr w:type="gramEnd"/>
            <w:r>
              <w:rPr>
                <w:rFonts w:ascii="Lato" w:hAnsi="Lato"/>
                <w:color w:val="000000"/>
                <w:sz w:val="27"/>
                <w:szCs w:val="27"/>
              </w:rPr>
              <w:t xml:space="preserve"> Так, обыгрывая в стихотворении «Славянам» слова австрийского министра иностранных дел барона фон </w:t>
            </w:r>
            <w:proofErr w:type="spellStart"/>
            <w:r>
              <w:rPr>
                <w:rFonts w:ascii="Lato" w:hAnsi="Lato"/>
                <w:color w:val="000000"/>
                <w:sz w:val="27"/>
                <w:szCs w:val="27"/>
              </w:rPr>
              <w:t>Бейста</w:t>
            </w:r>
            <w:proofErr w:type="spellEnd"/>
            <w:r>
              <w:rPr>
                <w:rFonts w:ascii="Lato" w:hAnsi="Lato"/>
                <w:color w:val="000000"/>
                <w:sz w:val="27"/>
                <w:szCs w:val="27"/>
              </w:rPr>
              <w:t xml:space="preserve">: «Славян должно прижать к стене», Тютчев создает образ «упругой стены» – «гранитной скалы», </w:t>
            </w:r>
            <w:r>
              <w:rPr>
                <w:rFonts w:ascii="Lato" w:hAnsi="Lato"/>
                <w:color w:val="000000"/>
                <w:sz w:val="27"/>
                <w:szCs w:val="27"/>
              </w:rPr>
              <w:lastRenderedPageBreak/>
              <w:t>обошедшей «шестую часть земного круга», «боевой твердыни», защищающей славян:</w:t>
            </w:r>
          </w:p>
          <w:p w:rsidR="00C4647D" w:rsidRPr="00AF5FE6" w:rsidRDefault="00C4647D" w:rsidP="008E37AF">
            <w:pPr>
              <w:pStyle w:val="a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47D" w:rsidRPr="00AF5FE6" w:rsidRDefault="00C4647D" w:rsidP="008E37AF">
            <w:pPr>
              <w:pStyle w:val="a4"/>
              <w:shd w:val="clear" w:color="auto" w:fill="FFFFFF"/>
              <w:spacing w:before="0" w:beforeAutospacing="0" w:after="167" w:afterAutospacing="0"/>
              <w:rPr>
                <w:color w:val="000000"/>
                <w:sz w:val="23"/>
                <w:szCs w:val="23"/>
              </w:rPr>
            </w:pPr>
            <w:r w:rsidRPr="00AF5FE6">
              <w:lastRenderedPageBreak/>
              <w:t xml:space="preserve"> </w:t>
            </w:r>
            <w:r w:rsidR="008E37AF">
              <w:t xml:space="preserve">СХВ в тексте стихотворения « Они кричат, они грозятся» </w:t>
            </w:r>
            <w:proofErr w:type="gramStart"/>
            <w:r w:rsidR="008E37AF">
              <w:t xml:space="preserve">( </w:t>
            </w:r>
            <w:proofErr w:type="gramEnd"/>
            <w:r w:rsidR="008E37AF">
              <w:t>выписать 10 разных тропов)</w:t>
            </w:r>
          </w:p>
          <w:p w:rsidR="00C4647D" w:rsidRPr="00AF5FE6" w:rsidRDefault="00C4647D" w:rsidP="004B60C4">
            <w:pPr>
              <w:rPr>
                <w:rFonts w:ascii="Times New Roman" w:hAnsi="Times New Roman" w:cs="Times New Roman"/>
                <w:sz w:val="28"/>
              </w:rPr>
            </w:pPr>
            <w:r w:rsidRPr="00AF5FE6"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C4647D" w:rsidRPr="00AF5FE6" w:rsidRDefault="00C4647D" w:rsidP="004B60C4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 w:rsidRPr="00AF5FE6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 w:rsidRPr="00AF5FE6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 w:rsidRPr="00AF5FE6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 w:rsidRPr="00AF5FE6"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 w:rsidRPr="00AF5FE6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 w:rsidRPr="00AF5FE6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 w:rsidRPr="00AF5FE6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</w:tc>
      </w:tr>
    </w:tbl>
    <w:p w:rsidR="005D2F07" w:rsidRDefault="005D2F07"/>
    <w:sectPr w:rsidR="005D2F07" w:rsidSect="00D10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2D1"/>
    <w:multiLevelType w:val="hybridMultilevel"/>
    <w:tmpl w:val="DBD63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647D"/>
    <w:rsid w:val="005D2F07"/>
    <w:rsid w:val="008E37AF"/>
    <w:rsid w:val="00C4647D"/>
    <w:rsid w:val="00D1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4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4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4647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647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8E37AF"/>
    <w:rPr>
      <w:b/>
      <w:bCs/>
    </w:rPr>
  </w:style>
  <w:style w:type="character" w:styleId="a8">
    <w:name w:val="Emphasis"/>
    <w:basedOn w:val="a0"/>
    <w:uiPriority w:val="20"/>
    <w:qFormat/>
    <w:rsid w:val="008E37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518</Words>
  <Characters>2955</Characters>
  <Application>Microsoft Office Word</Application>
  <DocSecurity>0</DocSecurity>
  <Lines>24</Lines>
  <Paragraphs>6</Paragraphs>
  <ScaleCrop>false</ScaleCrop>
  <Company>Microsoft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2022-01-31T15:43:00Z</dcterms:created>
  <dcterms:modified xsi:type="dcterms:W3CDTF">2022-01-31T16:00:00Z</dcterms:modified>
</cp:coreProperties>
</file>